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4D" w:rsidRDefault="0075714D" w:rsidP="0075714D">
      <w:pPr>
        <w:spacing w:line="240" w:lineRule="auto"/>
        <w:outlineLvl w:val="0"/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  <w:t>Родительский лекторий</w:t>
      </w:r>
    </w:p>
    <w:p w:rsidR="0075714D" w:rsidRPr="0075714D" w:rsidRDefault="0075714D" w:rsidP="0075714D">
      <w:pPr>
        <w:spacing w:line="240" w:lineRule="auto"/>
        <w:outlineLvl w:val="0"/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  <w:t>«</w:t>
      </w:r>
      <w:r w:rsidRPr="0075714D"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  <w:t>Разница между взяткой и подарком</w:t>
      </w:r>
      <w:r>
        <w:rPr>
          <w:rFonts w:ascii="Arial" w:eastAsia="Times New Roman" w:hAnsi="Arial" w:cs="Arial"/>
          <w:color w:val="F8692D"/>
          <w:kern w:val="36"/>
          <w:sz w:val="48"/>
          <w:szCs w:val="48"/>
          <w:lang w:eastAsia="ru-RU"/>
        </w:rPr>
        <w:t>»</w:t>
      </w:r>
    </w:p>
    <w:p w:rsidR="0075714D" w:rsidRPr="0075714D" w:rsidRDefault="0075714D" w:rsidP="0075714D">
      <w:pPr>
        <w:spacing w:after="27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 бы это ни было печально, но многие люди пользуются своим служебным положением в корыстных целях. Взять хотя бы чиновников, представителей органов правопорядка, управленцев, работников сферы образования – далеко не все из них чисты на руку. Но если одни соглашаются принять небольшой презент в обмен на какую-либо услугу, то другие грубо нарушают должностные инструкции за серьезное материальное вознаграждение.</w:t>
      </w:r>
    </w:p>
    <w:p w:rsidR="0075714D" w:rsidRPr="0075714D" w:rsidRDefault="0075714D" w:rsidP="0075714D">
      <w:pPr>
        <w:spacing w:after="0" w:line="240" w:lineRule="auto"/>
        <w:outlineLvl w:val="1"/>
        <w:rPr>
          <w:rFonts w:ascii="Arial" w:eastAsia="Times New Roman" w:hAnsi="Arial" w:cs="Arial"/>
          <w:color w:val="F8692D"/>
          <w:sz w:val="36"/>
          <w:szCs w:val="36"/>
          <w:lang w:eastAsia="ru-RU"/>
        </w:rPr>
      </w:pPr>
      <w:r w:rsidRPr="0075714D">
        <w:rPr>
          <w:rFonts w:ascii="Arial" w:eastAsia="Times New Roman" w:hAnsi="Arial" w:cs="Arial"/>
          <w:color w:val="F8692D"/>
          <w:sz w:val="36"/>
          <w:szCs w:val="36"/>
          <w:lang w:eastAsia="ru-RU"/>
        </w:rPr>
        <w:t>Определения</w:t>
      </w:r>
    </w:p>
    <w:p w:rsidR="0075714D" w:rsidRPr="0075714D" w:rsidRDefault="0075714D" w:rsidP="0075714D">
      <w:pPr>
        <w:spacing w:after="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71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Взятка</w:t>
      </w: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материальные ценности, принимаемые должностным лицом. В их роли могут выступать деньги, предметы, услуги или прочие имущественные выгоды. В обмен на них человек соглашается на действие или бездействие в интересах взяткодателя. То есть должностное лицо идет </w:t>
      </w:r>
      <w:proofErr w:type="gramStart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те</w:t>
      </w:r>
      <w:proofErr w:type="gramEnd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поступки, которые оно не должно совершать в силу служебного положения. Принятие и передача взятки в большинстве стран имеют противозаконный характер, что прописано в Уголовном кодексе. Согласно российскому законодательству, под рассматриваемым термином подразумевается подкуп муниципальных или государственных служащих. Подобные действия выступают классическим проявлением коррупции. Существуют два основных вида взятки: подкуп и благодарность. Первая вручается до совершения определенных действий ее получателем, а вторая – по достижении результата.</w:t>
      </w:r>
    </w:p>
    <w:p w:rsidR="0075714D" w:rsidRDefault="0075714D" w:rsidP="0075714D">
      <w:pPr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14D" w:rsidRPr="0075714D" w:rsidRDefault="0075714D" w:rsidP="0075714D">
      <w:pPr>
        <w:spacing w:after="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714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Подарок</w:t>
      </w: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вещь, преподносимая безвозмездно по собственному желанию с целью доставить удовольствие получателю. Данный термин имеет схожее значение с пожертвованием. Однако вручение презента обычно связано с каким-либо поводом: событием, праздником, обычаем. Впрочем, поводом для подобного жеста может выступать и желание выразить признательность, продемонстрировать симпатию и т. д. Презент зачастую обладает скрытым смыслом, понятным как дарителю, так и получателю. Порой он накладывает некоторые обязательства на адресата, подразумевая совершение ответного жеста по </w:t>
      </w:r>
      <w:proofErr w:type="gramStart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прошествии</w:t>
      </w:r>
      <w:proofErr w:type="gramEnd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некоторого времени. Стоит отметить, что подарки на Руси всегда были в большом почете. Подтверждение этому можно найти в сказках и преданиях. К примеру, различные волшебные предметы, будь то клубок-</w:t>
      </w: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путеводитель или скатерть-самобранка, доставались героям в дар. Несколько веков назад на Руси был популярен термин «гостинец». Именно так назывались презенты, вручаемые визитерами хозяину дома.</w:t>
      </w:r>
    </w:p>
    <w:p w:rsidR="0075714D" w:rsidRDefault="0075714D" w:rsidP="0075714D">
      <w:pPr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5714D" w:rsidRPr="0075714D" w:rsidRDefault="0075714D" w:rsidP="0075714D">
      <w:pPr>
        <w:spacing w:after="0" w:line="240" w:lineRule="auto"/>
        <w:outlineLvl w:val="1"/>
        <w:rPr>
          <w:rFonts w:ascii="Arial" w:eastAsia="Times New Roman" w:hAnsi="Arial" w:cs="Arial"/>
          <w:color w:val="F8692D"/>
          <w:sz w:val="36"/>
          <w:szCs w:val="36"/>
          <w:lang w:eastAsia="ru-RU"/>
        </w:rPr>
      </w:pPr>
      <w:r w:rsidRPr="0075714D">
        <w:rPr>
          <w:rFonts w:ascii="Arial" w:eastAsia="Times New Roman" w:hAnsi="Arial" w:cs="Arial"/>
          <w:color w:val="F8692D"/>
          <w:sz w:val="36"/>
          <w:szCs w:val="36"/>
          <w:lang w:eastAsia="ru-RU"/>
        </w:rPr>
        <w:t>Сравнение</w:t>
      </w:r>
    </w:p>
    <w:p w:rsidR="0075714D" w:rsidRPr="0075714D" w:rsidRDefault="0075714D" w:rsidP="0075714D">
      <w:pPr>
        <w:spacing w:after="27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Рассмотрим характерные особенности каждого из понятий. Начнем с того, что взятка преподносится лишь должностному лицу. Она всегда сулит получателю определенные имущественные выгоды. Самой распространенной формой взятки является именно денежное вознаграждение, которое дается в обмен на услугу. Подобные поступки имеют противозаконный характер и влекут за собой наказание, определяемое Уголовным кодексом. Что же касается подарка, то в его роли выступают преимущественно вещи. Они могут не представлять особой материальной ценности. Наглядным примером данного факта следует считать различные поделки, выполненные собственными руками. Подарки </w:t>
      </w:r>
      <w:proofErr w:type="gramStart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преподносятся</w:t>
      </w:r>
      <w:proofErr w:type="gramEnd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кому угодно, будь то близкие или совершенно незнакомые люди. Они вручаются безвозмездно по личному желанию для того, чтобы порадовать получателя. Очевидно, что презенты выступают </w:t>
      </w:r>
      <w:proofErr w:type="gramStart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совершенно легальным</w:t>
      </w:r>
      <w:proofErr w:type="gramEnd"/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способом демонстрации симпатии и признательности.</w:t>
      </w:r>
    </w:p>
    <w:p w:rsidR="0075714D" w:rsidRPr="0075714D" w:rsidRDefault="0075714D" w:rsidP="0075714D">
      <w:pPr>
        <w:spacing w:after="27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Еще одно отличие взятки от подарка с точки зрения закона состоит в денежном выражении подношений. Если должностному лицу безвозмездно вручается какая-либо вещь или прочие ценности, совокупная стоимость которых не превышает 3 тысяч рублей, они могут считаться презентом. Тогда как преподнесение любых материальных благ из соображений выгоды будет выступать взяткой вне зависимости от размера их денежного эквивалента. К примеру, если должностное лицо получает 2 тысячи рублей от одного из сотрудников в честь юбилея, это не является противоправным действием. В случае, когда чиновник берет ту же сумму в обмен на услугу, он становится нарушителем закона. Во многих странах установлена максимальная стоимость презента, адресованного должностному лицу. Так, во Франции она составляет 35 евро, а в США – 50 долларов.</w:t>
      </w:r>
    </w:p>
    <w:p w:rsidR="0075714D" w:rsidRPr="0075714D" w:rsidRDefault="0075714D" w:rsidP="0075714D">
      <w:pPr>
        <w:spacing w:after="270" w:line="405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5714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Подведем итог, в чем разница между взяткой и подарком.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94"/>
        <w:gridCol w:w="5371"/>
      </w:tblGrid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Взятка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b/>
                <w:bCs/>
                <w:sz w:val="21"/>
                <w:lang w:eastAsia="ru-RU"/>
              </w:rPr>
              <w:t>Подарок</w:t>
            </w:r>
          </w:p>
        </w:tc>
      </w:tr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Преподносится лишь должностному лицу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Вручается кому угодно</w:t>
            </w:r>
          </w:p>
        </w:tc>
      </w:tr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Сулит получателю определенные </w:t>
            </w: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имущественные выгоды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Может не представлять особой материальной </w:t>
            </w: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ценности</w:t>
            </w:r>
          </w:p>
        </w:tc>
      </w:tr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Дается в обмен на действие или бездействие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Преподносится безвозмездно</w:t>
            </w:r>
          </w:p>
        </w:tc>
      </w:tr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Самой распространенной формой является денежное вознаграждение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его роли чаще выступают различные вещи</w:t>
            </w:r>
          </w:p>
        </w:tc>
      </w:tr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Имеет противозаконный характер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shd w:val="clear" w:color="auto" w:fill="F1F1F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Считается </w:t>
            </w:r>
            <w:proofErr w:type="gramStart"/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абсолютно легальным</w:t>
            </w:r>
            <w:proofErr w:type="gramEnd"/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способом выражения симпатии или признательности</w:t>
            </w:r>
          </w:p>
        </w:tc>
      </w:tr>
      <w:tr w:rsidR="0075714D" w:rsidRPr="0075714D" w:rsidTr="0075714D"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ней приравнивается любой презент стоимостью свыше 3000 рублей</w:t>
            </w:r>
          </w:p>
        </w:tc>
        <w:tc>
          <w:tcPr>
            <w:tcW w:w="0" w:type="auto"/>
            <w:tcBorders>
              <w:top w:val="single" w:sz="6" w:space="0" w:color="CECECD"/>
              <w:left w:val="single" w:sz="6" w:space="0" w:color="CECECD"/>
              <w:bottom w:val="single" w:sz="6" w:space="0" w:color="CECECD"/>
              <w:right w:val="single" w:sz="6" w:space="0" w:color="CECECD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5714D" w:rsidRPr="0075714D" w:rsidRDefault="0075714D" w:rsidP="0075714D">
            <w:pPr>
              <w:spacing w:after="0" w:line="28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1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должен превышать 3000 рублей в денежном эквиваленте в случае вручения должностному лицу</w:t>
            </w:r>
          </w:p>
        </w:tc>
      </w:tr>
    </w:tbl>
    <w:p w:rsidR="006269B2" w:rsidRDefault="006269B2"/>
    <w:p w:rsidR="0075714D" w:rsidRDefault="0075714D">
      <w:r w:rsidRPr="0075714D">
        <w:t>https://thedifference.ru/</w:t>
      </w:r>
    </w:p>
    <w:sectPr w:rsidR="0075714D" w:rsidSect="0062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645EB"/>
    <w:multiLevelType w:val="multilevel"/>
    <w:tmpl w:val="1C88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14D"/>
    <w:rsid w:val="00510973"/>
    <w:rsid w:val="006269B2"/>
    <w:rsid w:val="0075714D"/>
    <w:rsid w:val="0081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2"/>
  </w:style>
  <w:style w:type="paragraph" w:styleId="1">
    <w:name w:val="heading 1"/>
    <w:basedOn w:val="a"/>
    <w:link w:val="10"/>
    <w:uiPriority w:val="9"/>
    <w:qFormat/>
    <w:rsid w:val="00757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1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1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14D"/>
    <w:rPr>
      <w:color w:val="0000FF"/>
      <w:u w:val="single"/>
    </w:rPr>
  </w:style>
  <w:style w:type="character" w:styleId="a5">
    <w:name w:val="Strong"/>
    <w:basedOn w:val="a0"/>
    <w:uiPriority w:val="22"/>
    <w:qFormat/>
    <w:rsid w:val="0075714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559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714">
          <w:marLeft w:val="510"/>
          <w:marRight w:val="49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2022-12-22T08:10:00Z</dcterms:created>
  <dcterms:modified xsi:type="dcterms:W3CDTF">2022-12-22T08:14:00Z</dcterms:modified>
</cp:coreProperties>
</file>